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3"/>
          <w:szCs w:val="33"/>
          <w:shd w:val="clear" w:fill="FFFFFF"/>
        </w:rPr>
        <w:t>住建部关于印发《建筑业企业资质标准》的通知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建市[2014]159号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各省、自治区住房城乡建设厅，直辖市建委，新疆生产建设兵团建设局，国务院有关部门建设司，总后基建营房部工程管理局：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根据《中华人民共和国建筑法》，我部会同国务院有关部门制定了《建筑业企业资质标准》。现印发给你们，请遵照执行。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本标准自2015年1月1日起施行。原建设部印发的《建筑业企业资质等级标准》（建建[2001]82号）同时废止。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　　　　　　　　　　　　　　　中华人民共和国住房和城乡建设部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　　　　　　　　　　　　　　　　　　　　　　2014年11月6日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39F4"/>
    <w:rsid w:val="14D839F4"/>
    <w:rsid w:val="3AD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2020-06-24T03:58:00Z</dcterms:created>
  <dc:creator>超荣</dc:creator>
  <cp:lastModifiedBy>超荣</cp:lastModifiedBy>
  <dcterms:modified xsi:type="dcterms:W3CDTF">2020-07-02T02:42:35Z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